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autoSpaceDE w:val="false"/>
        <w:spacing w:before="0" w:after="0"/>
        <w:contextualSpacing/>
        <w:jc w:val="center"/>
        <w:rPr>
          <w:b/>
        </w:rPr>
      </w:pPr>
      <w:r>
        <w:rPr>
          <w:b/>
        </w:rPr>
        <w:t>СОГЛАШЕНИЕ О СОТРУДНИЧЕСТВЕ</w:t>
      </w:r>
    </w:p>
    <w:p>
      <w:pPr>
        <w:pStyle w:val="21"/>
        <w:spacing w:lineRule="auto" w:line="240" w:before="0" w:after="0"/>
        <w:contextualSpacing/>
        <w:jc w:val="center"/>
        <w:rPr/>
      </w:pPr>
      <w:r>
        <w:rPr>
          <w:rStyle w:val="Style16"/>
        </w:rPr>
        <w:t>между</w:t>
      </w:r>
    </w:p>
    <w:p>
      <w:pPr>
        <w:pStyle w:val="21"/>
        <w:spacing w:lineRule="auto" w:line="240" w:before="0" w:after="0"/>
        <w:contextualSpacing/>
        <w:jc w:val="both"/>
        <w:rPr/>
      </w:pPr>
      <w:r>
        <w:rPr>
          <w:rStyle w:val="Style16"/>
        </w:rPr>
        <w:t xml:space="preserve">федеральным государственным автономным образовательным учреждением высшего </w:t>
      </w:r>
      <w:r>
        <w:rPr>
          <w:rStyle w:val="Style16"/>
          <w:color w:val="000000"/>
        </w:rPr>
        <w:t>образования</w:t>
      </w:r>
      <w:r>
        <w:rPr>
          <w:rStyle w:val="Style16"/>
        </w:rPr>
        <w:t xml:space="preserve"> «Национальный исследовательский университет «Московский институт электронной техники» и _________________________________________________</w:t>
      </w:r>
    </w:p>
    <w:p>
      <w:pPr>
        <w:pStyle w:val="Normal"/>
        <w:widowControl w:val="false"/>
        <w:autoSpaceDE w:val="false"/>
        <w:spacing w:before="0" w:after="0"/>
        <w:contextualSpacing/>
        <w:jc w:val="center"/>
        <w:rPr>
          <w:b/>
        </w:rPr>
      </w:pPr>
      <w:r>
        <w:rPr/>
        <w:t>г. Москва</w:t>
      </w:r>
      <w:r>
        <w:rPr>
          <w:b/>
        </w:rPr>
        <w:tab/>
        <w:tab/>
        <w:tab/>
        <w:tab/>
        <w:tab/>
        <w:tab/>
        <w:tab/>
        <w:t>«</w:t>
      </w:r>
      <w:r>
        <w:rPr/>
        <w:t>___</w:t>
      </w:r>
      <w:r>
        <w:rPr>
          <w:b/>
        </w:rPr>
        <w:t xml:space="preserve">» </w:t>
      </w:r>
      <w:r>
        <w:rPr/>
        <w:t>_____________ 20___г.</w:t>
      </w:r>
    </w:p>
    <w:p>
      <w:pPr>
        <w:pStyle w:val="Normal"/>
        <w:spacing w:before="0" w:after="0"/>
        <w:contextualSpacing/>
        <w:jc w:val="both"/>
        <w:rPr/>
      </w:pPr>
      <w:r>
        <w:rPr>
          <w:rStyle w:val="Style16"/>
        </w:rPr>
        <w:t>Федеральное государственное автономное образовательное учреждение высшего  образования «Национальный исследовательский университет «Московский институт электронной техники» (МИЭТ</w:t>
      </w:r>
      <w:r>
        <w:rPr>
          <w:rStyle w:val="Style16"/>
          <w:color w:val="000000"/>
        </w:rPr>
        <w:t xml:space="preserve">), </w:t>
      </w:r>
      <w:r>
        <w:rPr>
          <w:color w:val="000000"/>
        </w:rPr>
        <w:t xml:space="preserve">именуемое в дальнейшем Университет, в лице  </w:t>
      </w:r>
      <w:r>
        <w:rPr>
          <w:sz w:val="23"/>
          <w:szCs w:val="23"/>
        </w:rPr>
        <w:t>проректора по молодежной политике и воспитательной работе Добрыниной Марии Владимировны, действующего на основании доверенности № 1486 от 11 июля 2023 года</w:t>
      </w:r>
      <w:r>
        <w:rPr>
          <w:color w:val="000000"/>
        </w:rPr>
        <w:t>, и</w:t>
      </w:r>
      <w:r>
        <w:rPr>
          <w:rStyle w:val="Style16"/>
          <w:color w:val="000000"/>
        </w:rPr>
        <w:t xml:space="preserve"> ______________________________________ _________________________, </w:t>
      </w:r>
      <w:r>
        <w:rPr>
          <w:color w:val="000000"/>
        </w:rPr>
        <w:t>именуемое в дальнейшем Школа,</w:t>
      </w:r>
      <w:r>
        <w:rPr>
          <w:rStyle w:val="Style16"/>
          <w:color w:val="000000"/>
        </w:rPr>
        <w:t xml:space="preserve"> в лице </w:t>
      </w:r>
      <w:r>
        <w:rPr>
          <w:color w:val="000000"/>
        </w:rPr>
        <w:t>______________________________________, действующего на основании ____________________________, совместно именуемые в дальнейшем «Стороны», заключили настоящее соглашение, в дальнейшем «Соглашение», о нижеследующем:</w:t>
      </w:r>
    </w:p>
    <w:p>
      <w:pPr>
        <w:pStyle w:val="Default"/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  <w:t>1. Предмет Соглашения</w:t>
      </w:r>
    </w:p>
    <w:p>
      <w:pPr>
        <w:pStyle w:val="Default"/>
        <w:spacing w:before="0" w:after="0"/>
        <w:contextualSpacing/>
        <w:jc w:val="both"/>
        <w:rPr>
          <w:color w:val="000000"/>
        </w:rPr>
      </w:pPr>
      <w:r>
        <w:rPr/>
        <w:t>1.1. Предметом  настоящего Соглашения является совместная скоординированная деятельность Сторон по отработке современных форм и механизмов взаимодействия образовательных организаций высшего и основного общего образования</w:t>
      </w:r>
      <w:r>
        <w:rPr>
          <w:color w:val="000000"/>
        </w:rPr>
        <w:t xml:space="preserve"> рамках актуальных направлений и задач по повышению качества</w:t>
      </w:r>
      <w:r>
        <w:rPr/>
        <w:t xml:space="preserve"> </w:t>
      </w:r>
      <w:r>
        <w:rPr>
          <w:color w:val="000000"/>
        </w:rPr>
        <w:t xml:space="preserve">профильного образования учащихся, задач по популяризации и по повышению престижа среди учащихся инженерных (технических) направлений подготовки в </w:t>
      </w:r>
      <w:r>
        <w:rPr/>
        <w:t xml:space="preserve">Университете. </w:t>
      </w:r>
    </w:p>
    <w:p>
      <w:pPr>
        <w:pStyle w:val="Default"/>
        <w:spacing w:before="0" w:after="0"/>
        <w:contextualSpacing/>
        <w:jc w:val="both"/>
        <w:rPr/>
      </w:pPr>
      <w:r>
        <w:rPr/>
        <w:t xml:space="preserve">1.2. Сотрудничество Сторон в рамках настоящего Соглашения будет осуществляться путем реализации совместных образовательных, </w:t>
      </w:r>
      <w:r>
        <w:rPr>
          <w:color w:val="000000"/>
        </w:rPr>
        <w:t>исследовательских, конкурсных и  практико-ориентированных проектов и мероприятий для учащихся, согласованных</w:t>
      </w:r>
      <w:r>
        <w:rPr/>
        <w:t xml:space="preserve"> Сторонами. </w:t>
      </w:r>
    </w:p>
    <w:p>
      <w:pPr>
        <w:pStyle w:val="Default"/>
        <w:spacing w:before="0" w:after="0"/>
        <w:contextualSpacing/>
        <w:jc w:val="both"/>
        <w:rPr/>
      </w:pPr>
      <w:r>
        <w:rPr/>
        <w:t xml:space="preserve">1.3. Сотрудничество Сторон будет осуществляться в той мере, в какой это соответствует целям, задачам и формам деятельности Сторон, определенных их учредительными документами, с учетом ресурсов и возможностей Сторон при реализации отдельных проектов. </w:t>
      </w:r>
    </w:p>
    <w:p>
      <w:pPr>
        <w:pStyle w:val="Default"/>
        <w:spacing w:before="0" w:after="0"/>
        <w:contextualSpacing/>
        <w:jc w:val="both"/>
        <w:rPr/>
      </w:pPr>
      <w:r>
        <w:rPr/>
        <w:t>1.4. Указание в Соглашении термина «совместные» не приводит к возникновению обязательств какой-либо Стороны перед другой Стороной, указывает на соответствующую вовлеченность обеих Сторон, а также не исключает оформления между Сторонами иных договоров и соглашений, заключаемых в развитие Соглашения, в том числе определяющих и регламентирующих конкретные формы, технические, финансовые и иные условия осуществления отношений. При наличии у какой-либо Стороны или третьего лица заблуждений относительно совместной деятельности, Стороны признают их ошибочными и предпринимают меры к устранению таких заблуждений.</w:t>
      </w:r>
    </w:p>
    <w:p>
      <w:pPr>
        <w:pStyle w:val="Default"/>
        <w:spacing w:before="0" w:after="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Направления и формы сотрудничества</w:t>
      </w:r>
    </w:p>
    <w:p>
      <w:pPr>
        <w:pStyle w:val="Default"/>
        <w:spacing w:before="0" w:after="0"/>
        <w:contextualSpacing/>
        <w:jc w:val="both"/>
        <w:rPr>
          <w:color w:val="000000"/>
        </w:rPr>
      </w:pPr>
      <w:r>
        <w:rPr>
          <w:color w:val="000000"/>
        </w:rPr>
        <w:t xml:space="preserve">2.1. Стороны определяют следующие направления и формы сотрудничества: </w:t>
      </w:r>
    </w:p>
    <w:p>
      <w:pPr>
        <w:pStyle w:val="Default"/>
        <w:tabs>
          <w:tab w:val="clear" w:pos="708"/>
          <w:tab w:val="left" w:pos="426" w:leader="none"/>
        </w:tabs>
        <w:spacing w:before="0" w:after="0"/>
        <w:contextualSpacing/>
        <w:jc w:val="both"/>
        <w:rPr/>
      </w:pPr>
      <w:r>
        <w:rPr/>
        <w:t>2.1.1. формирование современных направлений и форм сопровождения дополнительного образования учащихся Школы, реализующей программы профильной подготовки (инженерное, физико-математическое, информационно-технологическое, естественнонаучное профильное образование и др.);</w:t>
      </w:r>
    </w:p>
    <w:p>
      <w:pPr>
        <w:pStyle w:val="Default"/>
        <w:tabs>
          <w:tab w:val="clear" w:pos="708"/>
          <w:tab w:val="left" w:pos="426" w:leader="none"/>
        </w:tabs>
        <w:spacing w:before="0" w:after="0"/>
        <w:contextualSpacing/>
        <w:jc w:val="both"/>
        <w:rPr>
          <w:color w:val="000000"/>
        </w:rPr>
      </w:pPr>
      <w:r>
        <w:rPr>
          <w:color w:val="000000"/>
        </w:rPr>
        <w:t xml:space="preserve">2.1.2. организация профориентационной работы с учащимися Школы и их родителями по вопросам получения  дополнительного образования по профильной подготовке в Университете, </w:t>
      </w:r>
      <w:r>
        <w:rPr/>
        <w:t>повышение в среде молодежи престижа высшего технического образования;</w:t>
      </w:r>
    </w:p>
    <w:p>
      <w:pPr>
        <w:pStyle w:val="Default"/>
        <w:tabs>
          <w:tab w:val="clear" w:pos="708"/>
          <w:tab w:val="left" w:pos="426" w:leader="none"/>
        </w:tabs>
        <w:spacing w:before="0" w:after="0"/>
        <w:contextualSpacing/>
        <w:jc w:val="both"/>
        <w:rPr>
          <w:color w:val="000000"/>
        </w:rPr>
      </w:pPr>
      <w:r>
        <w:rPr>
          <w:color w:val="000000"/>
        </w:rPr>
        <w:t>2.1.3. развитие современных форм выявления и сопровождения мотивированных учащихся, организация и проведение для учащихся различных интеллектуальных конкурсных мероприятий, совместная работа по формированию «портфолио» мотивированных учащихся;</w:t>
      </w:r>
    </w:p>
    <w:p>
      <w:pPr>
        <w:pStyle w:val="Default"/>
        <w:tabs>
          <w:tab w:val="clear" w:pos="708"/>
          <w:tab w:val="left" w:pos="426" w:leader="none"/>
        </w:tabs>
        <w:spacing w:before="0" w:after="0"/>
        <w:contextualSpacing/>
        <w:jc w:val="both"/>
        <w:rPr/>
      </w:pPr>
      <w:r>
        <w:rPr/>
        <w:t>2.1.4. развитие исследовательской и проектной деятельности учащихся, как на базе Школы, так и с использованием возможностей лабораторной и научной базы кафедр и институтов Университета;</w:t>
      </w:r>
    </w:p>
    <w:p>
      <w:pPr>
        <w:pStyle w:val="Default"/>
        <w:tabs>
          <w:tab w:val="clear" w:pos="708"/>
          <w:tab w:val="left" w:pos="426" w:leader="none"/>
        </w:tabs>
        <w:spacing w:before="0" w:after="0"/>
        <w:contextualSpacing/>
        <w:jc w:val="both"/>
        <w:rPr/>
      </w:pPr>
      <w:r>
        <w:rPr/>
        <w:t>2.1.5. организация информирования родителей учащихся Школы о направлениях и современных формах взаимодействия с Университетом, способствующих повышению качества образования и профессиональной ориентации учащихся;</w:t>
      </w:r>
    </w:p>
    <w:p>
      <w:pPr>
        <w:pStyle w:val="Default"/>
        <w:tabs>
          <w:tab w:val="clear" w:pos="708"/>
          <w:tab w:val="left" w:pos="426" w:leader="none"/>
        </w:tabs>
        <w:spacing w:before="0" w:after="0"/>
        <w:contextualSpacing/>
        <w:jc w:val="both"/>
        <w:rPr/>
      </w:pPr>
      <w:r>
        <w:rPr/>
        <w:t xml:space="preserve">2.1.6. иные направления, проекты и программы, представляющие взаимный интерес Сторон; </w:t>
      </w:r>
    </w:p>
    <w:p>
      <w:pPr>
        <w:pStyle w:val="Default"/>
        <w:tabs>
          <w:tab w:val="clear" w:pos="708"/>
          <w:tab w:val="left" w:pos="426" w:leader="none"/>
        </w:tabs>
        <w:spacing w:before="0" w:after="0"/>
        <w:contextualSpacing/>
        <w:jc w:val="both"/>
        <w:rPr/>
      </w:pPr>
      <w:r>
        <w:rPr/>
        <w:t>2.2. Конкретные формы сотрудничества и их реализация могут быть оговорены Сторонами путем разработки и подписания в рамках  настоящего Соглашения отдельных самостоятельных договоров.</w:t>
      </w:r>
    </w:p>
    <w:p>
      <w:pPr>
        <w:pStyle w:val="Default"/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  <w:t>3. Условия и порядок реализации Соглашения</w:t>
      </w:r>
    </w:p>
    <w:p>
      <w:pPr>
        <w:pStyle w:val="Default"/>
        <w:spacing w:before="0" w:after="0"/>
        <w:contextualSpacing/>
        <w:jc w:val="both"/>
        <w:rPr/>
      </w:pPr>
      <w:r>
        <w:rPr/>
        <w:t>3.1. В целях реализации настоящего Соглашения и надлежащего исполнения принятых решений Стороны</w:t>
      </w:r>
    </w:p>
    <w:p>
      <w:pPr>
        <w:pStyle w:val="Default"/>
        <w:numPr>
          <w:ilvl w:val="0"/>
          <w:numId w:val="2"/>
        </w:numPr>
        <w:spacing w:before="0" w:after="0"/>
        <w:ind w:hanging="0" w:left="0" w:right="0"/>
        <w:contextualSpacing/>
        <w:jc w:val="both"/>
        <w:rPr/>
      </w:pPr>
      <w:r>
        <w:rPr/>
        <w:t>ежегодно разрабатывают и координируют планы совместных мероприятий;</w:t>
      </w:r>
    </w:p>
    <w:p>
      <w:pPr>
        <w:pStyle w:val="Default"/>
        <w:spacing w:before="0" w:after="0"/>
        <w:contextualSpacing/>
        <w:jc w:val="both"/>
        <w:rPr/>
      </w:pPr>
      <w:r>
        <w:rPr/>
        <w:t xml:space="preserve"> </w:t>
      </w:r>
      <w:r>
        <w:rPr/>
        <w:t>определяют формат мероприятий, сроки, место их проведения и ответственных лиц от каждой стороны;</w:t>
      </w:r>
    </w:p>
    <w:p>
      <w:pPr>
        <w:pStyle w:val="Default"/>
        <w:numPr>
          <w:ilvl w:val="0"/>
          <w:numId w:val="2"/>
        </w:numPr>
        <w:spacing w:before="0" w:after="0"/>
        <w:ind w:hanging="0" w:left="0" w:right="0"/>
        <w:contextualSpacing/>
        <w:jc w:val="both"/>
        <w:rPr/>
      </w:pPr>
      <w:r>
        <w:rPr/>
        <w:t>оказывают взаимную консультативную, экспертную, организационно-методическую, информационную и иную поддержку;</w:t>
      </w:r>
    </w:p>
    <w:p>
      <w:pPr>
        <w:pStyle w:val="Default"/>
        <w:numPr>
          <w:ilvl w:val="0"/>
          <w:numId w:val="2"/>
        </w:numPr>
        <w:spacing w:before="0" w:after="0"/>
        <w:ind w:hanging="0" w:left="0" w:right="0"/>
        <w:contextualSpacing/>
        <w:jc w:val="both"/>
        <w:rPr/>
      </w:pPr>
      <w:r>
        <w:rPr/>
        <w:t>при необходимости проводят совещания и семинары;</w:t>
      </w:r>
    </w:p>
    <w:p>
      <w:pPr>
        <w:pStyle w:val="Default"/>
        <w:numPr>
          <w:ilvl w:val="0"/>
          <w:numId w:val="2"/>
        </w:numPr>
        <w:spacing w:before="0" w:after="0"/>
        <w:ind w:hanging="0" w:left="0" w:right="0"/>
        <w:contextualSpacing/>
        <w:jc w:val="both"/>
        <w:rPr/>
      </w:pPr>
      <w:r>
        <w:rPr/>
        <w:t>обеспечивают участие в подготовке, подписании и исполнении иных соглашений и договоров между Сторонами в рамках настоящего Соглашения;</w:t>
      </w:r>
    </w:p>
    <w:p>
      <w:pPr>
        <w:pStyle w:val="Default"/>
        <w:numPr>
          <w:ilvl w:val="0"/>
          <w:numId w:val="2"/>
        </w:numPr>
        <w:spacing w:before="0" w:after="0"/>
        <w:ind w:hanging="0" w:left="0" w:right="0"/>
        <w:contextualSpacing/>
        <w:jc w:val="both"/>
        <w:rPr/>
      </w:pPr>
      <w:r>
        <w:rPr/>
        <w:t>осуществляют иные функции в соответствии со своей компетенцией и договоренностями Сторон.</w:t>
      </w:r>
    </w:p>
    <w:p>
      <w:pPr>
        <w:pStyle w:val="Text"/>
        <w:tabs>
          <w:tab w:val="clear" w:pos="708"/>
          <w:tab w:val="left" w:pos="-284" w:leader="none"/>
        </w:tabs>
        <w:spacing w:lineRule="auto" w:line="240" w:before="0" w:after="0"/>
        <w:ind w:hanging="0" w:right="0"/>
        <w:contextualSpacing/>
        <w:rPr/>
      </w:pPr>
      <w:r>
        <w:rPr>
          <w:rFonts w:cs="Times New Roman" w:ascii="Times New Roman" w:hAnsi="Times New Roman"/>
          <w:color w:val="000000"/>
          <w:lang w:val="ru-RU"/>
        </w:rPr>
        <w:t xml:space="preserve">3.2. Настоящее Соглашение является договором о намерениях и само по себе не налагает на его участников никаких обязательств, в том числе финансовых. </w:t>
      </w:r>
    </w:p>
    <w:p>
      <w:pPr>
        <w:pStyle w:val="Style51"/>
        <w:widowControl/>
        <w:tabs>
          <w:tab w:val="clear" w:pos="708"/>
          <w:tab w:val="left" w:pos="1418" w:leader="none"/>
        </w:tabs>
        <w:spacing w:lineRule="auto" w:line="240" w:before="0" w:after="0"/>
        <w:ind w:hanging="0" w:right="0"/>
        <w:contextualSpacing/>
        <w:rPr/>
      </w:pPr>
      <w:r>
        <w:rPr>
          <w:color w:val="000000"/>
        </w:rPr>
        <w:t xml:space="preserve">3.3. </w:t>
      </w:r>
      <w:r>
        <w:rPr/>
        <w:t>Стороны согласились, что</w:t>
      </w:r>
      <w:r>
        <w:rPr>
          <w:rStyle w:val="FontStyle14"/>
        </w:rPr>
        <w:t xml:space="preserve"> реализация конкретных совместных проектов и мероприятий осуществляется на основе отдельно заключаемых самостоятельных договоров. </w:t>
      </w:r>
    </w:p>
    <w:p>
      <w:pPr>
        <w:pStyle w:val="Default"/>
        <w:spacing w:before="0" w:after="0"/>
        <w:contextualSpacing/>
        <w:jc w:val="both"/>
        <w:rPr/>
      </w:pPr>
      <w:r>
        <w:rPr>
          <w:color w:val="000000"/>
        </w:rPr>
        <w:t xml:space="preserve">3.4. Настоящее Соглашение не препятствует Сторонам в определении и развитии иных направлений сотрудничества. </w:t>
      </w:r>
    </w:p>
    <w:p>
      <w:pPr>
        <w:pStyle w:val="Default"/>
        <w:tabs>
          <w:tab w:val="clear" w:pos="708"/>
          <w:tab w:val="left" w:pos="426" w:leader="none"/>
        </w:tabs>
        <w:spacing w:before="0" w:after="0"/>
        <w:contextualSpacing/>
        <w:jc w:val="both"/>
        <w:rPr>
          <w:color w:val="000000"/>
        </w:rPr>
      </w:pPr>
      <w:r>
        <w:rPr>
          <w:color w:val="000000"/>
        </w:rPr>
        <w:t xml:space="preserve">3.5. Каждая Сторона обеспечивает конфиденциальность информации и документов, полученных от другой Стороны, если они носят закрытый характер или если передающая Сторона считает нежелательным их разглашение. Степень закрытости такой информации и документов определяется передающей Стороной в соответствии c законодательством Российской Федерации. </w:t>
      </w:r>
    </w:p>
    <w:p>
      <w:pPr>
        <w:pStyle w:val="Default"/>
        <w:spacing w:before="0" w:after="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 Срок действия и порядок расторжения Соглашения</w:t>
      </w:r>
    </w:p>
    <w:p>
      <w:pPr>
        <w:pStyle w:val="Default"/>
        <w:spacing w:before="0" w:after="0"/>
        <w:contextualSpacing/>
        <w:jc w:val="both"/>
        <w:rPr>
          <w:color w:val="000000"/>
        </w:rPr>
      </w:pPr>
      <w:r>
        <w:rPr>
          <w:color w:val="000000"/>
        </w:rPr>
        <w:t>4.1. Настоящее Соглашение действует в течение 5 (пяти) лет со дня подписания его Сторонами. Если ни одна из Сторон за 2 (два) месяца до истечения срока действия настоящего Соглашения не заявит в письменной форме о намерении прекратить его действие, настоящее Соглашение считается автоматически пролонгированным на аналогичный период.</w:t>
      </w:r>
    </w:p>
    <w:p>
      <w:pPr>
        <w:pStyle w:val="Default"/>
        <w:spacing w:before="0" w:after="0"/>
        <w:contextualSpacing/>
        <w:jc w:val="both"/>
        <w:rPr>
          <w:color w:val="000000"/>
        </w:rPr>
      </w:pPr>
      <w:r>
        <w:rPr>
          <w:color w:val="000000"/>
        </w:rPr>
        <w:t xml:space="preserve">4.2. Настоящее Соглашение может быть расторгнуто в любое время любой из Сторон с письменным уведомлением об этом другой Стороны не позднее, чем за 60 (шестьдесят) дней до предполагаемой даты расторжения. </w:t>
      </w:r>
    </w:p>
    <w:p>
      <w:pPr>
        <w:pStyle w:val="Default"/>
        <w:spacing w:before="0" w:after="0"/>
        <w:contextualSpacing/>
        <w:jc w:val="both"/>
        <w:rPr>
          <w:color w:val="000000"/>
        </w:rPr>
      </w:pPr>
      <w:r>
        <w:rPr>
          <w:color w:val="000000"/>
        </w:rPr>
        <w:t xml:space="preserve">4.3. </w:t>
      </w:r>
      <w:r>
        <w:rPr/>
        <w:t>Прекращение действия настоящего Соглашения не затрагивает выполнения договоренностей, принятых на себя Сторонами в рамках соглашений или договоров, заключенных на основе настоящего Соглашения.</w:t>
      </w:r>
    </w:p>
    <w:p>
      <w:pPr>
        <w:pStyle w:val="Default"/>
        <w:keepNext w:val="true"/>
        <w:spacing w:before="0" w:after="0"/>
        <w:contextualSpacing/>
        <w:jc w:val="center"/>
        <w:rPr>
          <w:color w:val="000000"/>
        </w:rPr>
      </w:pPr>
      <w:r>
        <w:rPr>
          <w:b/>
        </w:rPr>
        <w:t>5. Заключительные положения</w:t>
      </w:r>
    </w:p>
    <w:p>
      <w:pPr>
        <w:pStyle w:val="Default"/>
        <w:spacing w:before="0" w:after="0"/>
        <w:contextualSpacing/>
        <w:jc w:val="both"/>
        <w:rPr>
          <w:b/>
        </w:rPr>
      </w:pPr>
      <w:r>
        <w:rPr>
          <w:color w:val="000000"/>
        </w:rPr>
        <w:t xml:space="preserve">5.1. </w:t>
      </w:r>
      <w:r>
        <w:rPr/>
        <w:t>При реализации настоящего Соглашения Стороны будут стараться воздерживаться от конфликтных ситуаций по отношению друг к другу. Споры, которые могут возникнуть между Сторонами в связи с реализацией настоящего Соглашения, будут по возможности разрешаться переговорами или в установленном законодательством порядке.</w:t>
      </w:r>
    </w:p>
    <w:p>
      <w:pPr>
        <w:pStyle w:val="Default"/>
        <w:spacing w:before="0" w:after="0"/>
        <w:contextualSpacing/>
        <w:jc w:val="both"/>
        <w:rPr/>
      </w:pPr>
      <w:r>
        <w:rPr>
          <w:color w:val="000000"/>
        </w:rPr>
        <w:t>5.</w:t>
      </w:r>
      <w:r>
        <w:rPr/>
        <w:t>2.</w:t>
      </w:r>
      <w:r>
        <w:rPr>
          <w:color w:val="000000"/>
        </w:rPr>
        <w:t xml:space="preserve"> Настоящее Соглашение составлено в двух экземплярах, имеющих одинаковую юридическую силу, по одному для каждой из Сторон. </w:t>
      </w:r>
    </w:p>
    <w:p>
      <w:pPr>
        <w:pStyle w:val="Default"/>
        <w:spacing w:before="0" w:after="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6. Адреса и подписи Сторон</w:t>
      </w:r>
    </w:p>
    <w:tbl>
      <w:tblPr>
        <w:tblW w:w="9823" w:type="dxa"/>
        <w:jc w:val="left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7"/>
        <w:gridCol w:w="4786"/>
      </w:tblGrid>
      <w:tr>
        <w:trPr/>
        <w:tc>
          <w:tcPr>
            <w:tcW w:w="5037" w:type="dxa"/>
            <w:tcBorders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техники» (МИЭТ)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bCs/>
                <w:sz w:val="22"/>
                <w:szCs w:val="22"/>
              </w:rPr>
              <w:t>Место нахождения и почтовый адрес</w:t>
            </w:r>
            <w:r>
              <w:rPr>
                <w:color w:val="000000"/>
                <w:sz w:val="22"/>
                <w:szCs w:val="22"/>
              </w:rPr>
              <w:t>: 124498, г. Москва, г. Зеленоград, площадь Шокина, д. 1.</w:t>
            </w:r>
          </w:p>
          <w:p>
            <w:pPr>
              <w:pStyle w:val="Normal"/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</w:t>
            </w:r>
            <w:r>
              <w:rPr>
                <w:sz w:val="22"/>
                <w:szCs w:val="22"/>
              </w:rPr>
              <w:t>1027739615584</w:t>
            </w:r>
          </w:p>
          <w:p>
            <w:pPr>
              <w:pStyle w:val="Normal"/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 7735041133 /КПП 773501001</w:t>
            </w:r>
          </w:p>
          <w:p>
            <w:pPr>
              <w:pStyle w:val="Normal"/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Банк ГУ БАНКА РОССИИ ПО ЦФО//УФК ПО Г. МОСКВЕ г. Москва</w:t>
            </w:r>
          </w:p>
          <w:p>
            <w:pPr>
              <w:pStyle w:val="Normal"/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 004525988</w:t>
            </w:r>
          </w:p>
          <w:p>
            <w:pPr>
              <w:pStyle w:val="Normal"/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Каз.сч. 03214643000000017300</w:t>
            </w:r>
          </w:p>
          <w:p>
            <w:pPr>
              <w:pStyle w:val="Normal"/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ЕКС 40102810545370000003</w:t>
            </w:r>
          </w:p>
          <w:p>
            <w:pPr>
              <w:pStyle w:val="Normal"/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л/с 30736Щ02250</w:t>
            </w:r>
          </w:p>
          <w:p>
            <w:pPr>
              <w:pStyle w:val="Normal"/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КБК 00000000000000000130</w:t>
            </w:r>
          </w:p>
          <w:p>
            <w:pPr>
              <w:pStyle w:val="Normal"/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ОКВЭД 85.22 </w:t>
              <w:tab/>
            </w:r>
          </w:p>
          <w:p>
            <w:pPr>
              <w:pStyle w:val="Normal"/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ОКПО 02066552</w:t>
            </w:r>
          </w:p>
          <w:p>
            <w:pPr>
              <w:pStyle w:val="Normal"/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ОКТМО 45927000000</w:t>
            </w:r>
          </w:p>
          <w:p>
            <w:pPr>
              <w:pStyle w:val="BodyText"/>
              <w:spacing w:before="0" w:after="0"/>
              <w:contextualSpacing/>
              <w:rPr/>
            </w:pP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mail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/>
              </w:rPr>
              <w:t>dcg</w:t>
            </w:r>
            <w:r>
              <w:rPr>
                <w:color w:val="000000"/>
                <w:sz w:val="22"/>
                <w:szCs w:val="22"/>
              </w:rPr>
              <w:t>@</w:t>
            </w:r>
            <w:r>
              <w:rPr>
                <w:color w:val="000000"/>
                <w:sz w:val="22"/>
                <w:szCs w:val="22"/>
                <w:lang w:val="en-US"/>
              </w:rPr>
              <w:t>miee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BodyText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Normal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Проректор по МПВР МИЭТ</w:t>
            </w:r>
          </w:p>
          <w:p>
            <w:pPr>
              <w:pStyle w:val="1"/>
              <w:pBdr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1"/>
              <w:pBdr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_________________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М.В. Добрынина</w:t>
            </w:r>
          </w:p>
          <w:p>
            <w:pPr>
              <w:pStyle w:val="Default"/>
              <w:spacing w:before="0" w:after="0"/>
              <w:contextualSpacing/>
              <w:jc w:val="both"/>
              <w:rPr>
                <w:color w:val="000000"/>
                <w:sz w:val="16"/>
                <w:szCs w:val="16"/>
              </w:rPr>
            </w:pPr>
            <w:r>
              <w:rPr/>
              <w:t>«____»  ______________ 2023 г.</w:t>
            </w:r>
          </w:p>
        </w:tc>
        <w:tc>
          <w:tcPr>
            <w:tcW w:w="4786" w:type="dxa"/>
            <w:tcBorders/>
          </w:tcPr>
          <w:p>
            <w:pPr>
              <w:pStyle w:val="BodyText"/>
              <w:spacing w:before="0" w:after="0"/>
              <w:contextualSpacing/>
              <w:rPr/>
            </w:pPr>
            <w:r>
              <w:rPr/>
              <w:t>Полное наименование партнера</w:t>
            </w:r>
          </w:p>
          <w:p>
            <w:pPr>
              <w:pStyle w:val="BodyText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BodyText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BodyText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BodyText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BodyText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BodyText"/>
              <w:spacing w:before="0" w:after="0"/>
              <w:contextualSpacing/>
              <w:rPr/>
            </w:pPr>
            <w:r>
              <w:rPr/>
              <w:t>ОГРН</w:t>
            </w:r>
          </w:p>
          <w:p>
            <w:pPr>
              <w:pStyle w:val="BodyText"/>
              <w:spacing w:before="0" w:after="0"/>
              <w:contextualSpacing/>
              <w:rPr/>
            </w:pPr>
            <w:r>
              <w:rPr/>
              <w:t xml:space="preserve">Адрес местонахождения: </w:t>
            </w:r>
          </w:p>
          <w:p>
            <w:pPr>
              <w:pStyle w:val="BodyText"/>
              <w:spacing w:before="0" w:after="0"/>
              <w:contextualSpacing/>
              <w:rPr/>
            </w:pPr>
            <w:r>
              <w:rPr/>
              <w:t>Тел.:</w:t>
            </w:r>
          </w:p>
          <w:p>
            <w:pPr>
              <w:pStyle w:val="BodyText"/>
              <w:spacing w:before="0" w:after="0"/>
              <w:contextualSpacing/>
              <w:rPr/>
            </w:pPr>
            <w:r>
              <w:rPr/>
              <w:t>Адрес электронной почты:</w:t>
            </w:r>
          </w:p>
          <w:p>
            <w:pPr>
              <w:pStyle w:val="BodyText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BodyText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BodyText"/>
              <w:spacing w:before="0" w:after="0"/>
              <w:contextualSpacing/>
              <w:rPr/>
            </w:pPr>
            <w:r>
              <w:rPr/>
              <w:t>_____________________</w:t>
            </w:r>
          </w:p>
          <w:p>
            <w:pPr>
              <w:pStyle w:val="BodyText"/>
              <w:spacing w:before="0" w:after="0"/>
              <w:contextualSpacing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</w:t>
            </w:r>
            <w:r>
              <w:rPr>
                <w:i/>
                <w:sz w:val="16"/>
                <w:szCs w:val="16"/>
              </w:rPr>
              <w:t>(наименование должности)</w:t>
            </w:r>
          </w:p>
          <w:p>
            <w:pPr>
              <w:pStyle w:val="BodyText"/>
              <w:spacing w:before="0" w:after="0"/>
              <w:contextualSpacing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  <w:p>
            <w:pPr>
              <w:pStyle w:val="BodyText"/>
              <w:spacing w:before="0" w:after="0"/>
              <w:contextualSpacing/>
              <w:rPr/>
            </w:pPr>
            <w:r>
              <w:rPr/>
              <w:t>_________________/_______________/</w:t>
            </w:r>
          </w:p>
          <w:p>
            <w:pPr>
              <w:pStyle w:val="Default"/>
              <w:spacing w:before="0" w:after="0"/>
              <w:contextualSpacing/>
              <w:jc w:val="both"/>
              <w:rPr>
                <w:color w:val="00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</w:t>
            </w:r>
            <w:r>
              <w:rPr>
                <w:i/>
                <w:sz w:val="16"/>
                <w:szCs w:val="16"/>
              </w:rPr>
              <w:t>(подпись, расшифровка)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t>Форма 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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Style14">
    <w:name w:val="Основной шрифт абзаца"/>
    <w:qFormat/>
    <w:rPr/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character" w:styleId="Style15">
    <w:name w:val="Текст примечания Знак"/>
    <w:basedOn w:val="Style14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Основной текст Знак"/>
    <w:basedOn w:val="Style14"/>
    <w:qFormat/>
    <w:rPr>
      <w:rFonts w:ascii="Times New Roman" w:hAnsi="Times New Roman" w:eastAsia="Times New Roman" w:cs="Times New Roman"/>
      <w:sz w:val="24"/>
      <w:szCs w:val="24"/>
    </w:rPr>
  </w:style>
  <w:style w:type="character" w:styleId="2">
    <w:name w:val="Основной текст 2 Знак"/>
    <w:basedOn w:val="Style14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7">
    <w:name w:val="Знак примечания"/>
    <w:qFormat/>
    <w:rPr>
      <w:sz w:val="16"/>
      <w:szCs w:val="16"/>
    </w:rPr>
  </w:style>
  <w:style w:type="character" w:styleId="FontStyle14">
    <w:name w:val="Font Style14"/>
    <w:qFormat/>
    <w:rPr>
      <w:rFonts w:ascii="Times New Roman" w:hAnsi="Times New Roman" w:cs="Times New Roman"/>
      <w:sz w:val="24"/>
      <w:szCs w:val="24"/>
    </w:rPr>
  </w:style>
  <w:style w:type="character" w:styleId="Style18">
    <w:name w:val="Текст выноски Знак"/>
    <w:basedOn w:val="Style14"/>
    <w:qFormat/>
    <w:rPr>
      <w:rFonts w:ascii="Tahoma" w:hAnsi="Tahoma" w:eastAsia="Times New Roman" w:cs="Tahoma"/>
      <w:sz w:val="16"/>
      <w:szCs w:val="16"/>
    </w:rPr>
  </w:style>
  <w:style w:type="character" w:styleId="Style19">
    <w:name w:val="Верхний колонтитул Знак"/>
    <w:basedOn w:val="Style14"/>
    <w:qFormat/>
    <w:rPr>
      <w:rFonts w:ascii="Times New Roman" w:hAnsi="Times New Roman" w:eastAsia="Times New Roman" w:cs="Times New Roman"/>
      <w:sz w:val="24"/>
      <w:szCs w:val="24"/>
    </w:rPr>
  </w:style>
  <w:style w:type="character" w:styleId="Style20">
    <w:name w:val="Нижний колонтитул Знак"/>
    <w:basedOn w:val="Style14"/>
    <w:qFormat/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Style23">
    <w:name w:val="Текст примечания"/>
    <w:basedOn w:val="Normal"/>
    <w:qFormat/>
    <w:pPr/>
    <w:rPr>
      <w:sz w:val="20"/>
      <w:szCs w:val="20"/>
    </w:rPr>
  </w:style>
  <w:style w:type="paragraph" w:styleId="21">
    <w:name w:val="Основной текст 2"/>
    <w:basedOn w:val="Normal"/>
    <w:qFormat/>
    <w:pPr>
      <w:spacing w:lineRule="auto" w:line="480" w:before="0" w:after="120"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paragraph" w:styleId="Text">
    <w:name w:val="text"/>
    <w:basedOn w:val="Normal"/>
    <w:qFormat/>
    <w:pPr>
      <w:spacing w:lineRule="auto" w:line="360" w:before="75" w:after="150"/>
      <w:ind w:firstLine="375" w:left="0" w:right="0"/>
      <w:jc w:val="both"/>
    </w:pPr>
    <w:rPr>
      <w:rFonts w:ascii="Arial" w:hAnsi="Arial" w:cs="Arial"/>
      <w:lang w:val="fr-FR"/>
    </w:rPr>
  </w:style>
  <w:style w:type="paragraph" w:styleId="Style51">
    <w:name w:val="Style5"/>
    <w:basedOn w:val="Normal"/>
    <w:qFormat/>
    <w:pPr>
      <w:widowControl w:val="false"/>
      <w:autoSpaceDE w:val="false"/>
      <w:spacing w:lineRule="exact" w:line="298"/>
      <w:ind w:firstLine="739" w:left="0" w:right="0"/>
      <w:jc w:val="both"/>
    </w:pPr>
    <w:rPr/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>
    <w:name w:val="Заголовок 11"/>
    <w:basedOn w:val="Normal"/>
    <w:next w:val="Normal"/>
    <w:qFormat/>
    <w:pPr>
      <w:keepNext w:val="true"/>
      <w:numPr>
        <w:ilvl w:val="0"/>
        <w:numId w:val="1"/>
      </w:numPr>
      <w:suppressAutoHyphens w:val="true"/>
      <w:spacing w:before="280" w:after="280"/>
      <w:jc w:val="both"/>
      <w:outlineLvl w:val="0"/>
    </w:pPr>
    <w:rPr>
      <w:rFonts w:ascii="Verdana" w:hAnsi="Verdana" w:cs="Verdana"/>
      <w:b/>
      <w:color w:val="000000"/>
      <w:sz w:val="20"/>
      <w:szCs w:val="20"/>
      <w:lang w:eastAsia="zh-CN"/>
    </w:rPr>
  </w:style>
  <w:style w:type="paragraph" w:styleId="211">
    <w:name w:val="Заголовок 21"/>
    <w:basedOn w:val="Normal"/>
    <w:next w:val="Normal"/>
    <w:qFormat/>
    <w:pPr>
      <w:keepNext w:val="true"/>
      <w:numPr>
        <w:ilvl w:val="0"/>
        <w:numId w:val="1"/>
      </w:numPr>
      <w:suppressAutoHyphens w:val="true"/>
      <w:spacing w:before="280" w:after="280"/>
      <w:jc w:val="both"/>
      <w:outlineLvl w:val="1"/>
    </w:pPr>
    <w:rPr>
      <w:rFonts w:ascii="Verdana" w:hAnsi="Verdana" w:cs="Verdana"/>
      <w:bCs/>
      <w:color w:val="000000"/>
      <w:sz w:val="20"/>
      <w:szCs w:val="20"/>
      <w:u w:val="single"/>
      <w:lang w:eastAsia="zh-CN"/>
    </w:rPr>
  </w:style>
  <w:style w:type="paragraph" w:styleId="31">
    <w:name w:val="Заголовок 31"/>
    <w:basedOn w:val="Normal"/>
    <w:next w:val="Normal"/>
    <w:qFormat/>
    <w:pPr>
      <w:keepNext w:val="true"/>
      <w:numPr>
        <w:ilvl w:val="0"/>
        <w:numId w:val="1"/>
      </w:numPr>
      <w:suppressAutoHyphens w:val="true"/>
      <w:spacing w:before="120" w:after="120"/>
      <w:jc w:val="both"/>
      <w:outlineLvl w:val="2"/>
    </w:pPr>
    <w:rPr>
      <w:b/>
      <w:bCs/>
      <w:lang w:eastAsia="zh-CN"/>
    </w:rPr>
  </w:style>
  <w:style w:type="paragraph" w:styleId="41">
    <w:name w:val="Заголовок 41"/>
    <w:basedOn w:val="Normal"/>
    <w:next w:val="Normal"/>
    <w:qFormat/>
    <w:pPr>
      <w:keepNext w:val="true"/>
      <w:numPr>
        <w:ilvl w:val="0"/>
        <w:numId w:val="1"/>
      </w:numPr>
      <w:suppressAutoHyphens w:val="true"/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51">
    <w:name w:val="Заголовок 51"/>
    <w:basedOn w:val="Normal"/>
    <w:next w:val="Normal"/>
    <w:qFormat/>
    <w:pPr>
      <w:numPr>
        <w:ilvl w:val="0"/>
        <w:numId w:val="1"/>
      </w:numPr>
      <w:suppressAutoHyphens w:val="true"/>
      <w:spacing w:before="240" w:after="60"/>
      <w:ind w:hanging="1008" w:left="1008" w:right="0"/>
      <w:outlineLvl w:val="4"/>
    </w:pPr>
    <w:rPr>
      <w:rFonts w:ascii="Calibri" w:hAnsi="Calibri" w:cs="Calibri"/>
      <w:b/>
      <w:bCs/>
      <w:i/>
      <w:iCs/>
      <w:sz w:val="26"/>
      <w:szCs w:val="26"/>
      <w:lang w:eastAsia="zh-CN"/>
    </w:rPr>
  </w:style>
  <w:style w:type="paragraph" w:styleId="61">
    <w:name w:val="Заголовок 61"/>
    <w:basedOn w:val="Normal"/>
    <w:next w:val="Normal"/>
    <w:qFormat/>
    <w:pPr>
      <w:numPr>
        <w:ilvl w:val="0"/>
        <w:numId w:val="1"/>
      </w:numPr>
      <w:suppressAutoHyphens w:val="true"/>
      <w:spacing w:before="240" w:after="60"/>
      <w:ind w:hanging="1152" w:left="1152" w:right="0"/>
      <w:outlineLvl w:val="5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71">
    <w:name w:val="Заголовок 71"/>
    <w:basedOn w:val="Normal"/>
    <w:next w:val="Normal"/>
    <w:qFormat/>
    <w:pPr>
      <w:numPr>
        <w:ilvl w:val="0"/>
        <w:numId w:val="1"/>
      </w:numPr>
      <w:suppressAutoHyphens w:val="true"/>
      <w:spacing w:before="240" w:after="60"/>
      <w:ind w:hanging="1296" w:left="1296" w:right="0"/>
      <w:outlineLvl w:val="6"/>
    </w:pPr>
    <w:rPr>
      <w:rFonts w:ascii="Calibri" w:hAnsi="Calibri" w:cs="Calibri"/>
      <w:lang w:eastAsia="zh-CN"/>
    </w:rPr>
  </w:style>
  <w:style w:type="paragraph" w:styleId="81">
    <w:name w:val="Заголовок 81"/>
    <w:basedOn w:val="Normal"/>
    <w:next w:val="Normal"/>
    <w:qFormat/>
    <w:pPr>
      <w:numPr>
        <w:ilvl w:val="0"/>
        <w:numId w:val="1"/>
      </w:numPr>
      <w:suppressAutoHyphens w:val="true"/>
      <w:spacing w:before="240" w:after="60"/>
      <w:ind w:hanging="1440" w:left="1440" w:right="0"/>
      <w:outlineLvl w:val="7"/>
    </w:pPr>
    <w:rPr>
      <w:rFonts w:ascii="Calibri" w:hAnsi="Calibri" w:cs="Calibri"/>
      <w:i/>
      <w:iCs/>
      <w:lang w:eastAsia="zh-CN"/>
    </w:rPr>
  </w:style>
  <w:style w:type="paragraph" w:styleId="91">
    <w:name w:val="Заголовок 91"/>
    <w:basedOn w:val="Normal"/>
    <w:next w:val="Normal"/>
    <w:qFormat/>
    <w:pPr>
      <w:numPr>
        <w:ilvl w:val="0"/>
        <w:numId w:val="1"/>
      </w:numPr>
      <w:suppressAutoHyphens w:val="true"/>
      <w:spacing w:before="240" w:after="60"/>
      <w:ind w:hanging="1584" w:left="1584" w:right="0"/>
      <w:outlineLvl w:val="8"/>
    </w:pPr>
    <w:rPr>
      <w:rFonts w:ascii="Cambria" w:hAnsi="Cambria" w:cs="Cambria"/>
      <w:sz w:val="22"/>
      <w:szCs w:val="22"/>
      <w:lang w:eastAsia="zh-CN"/>
    </w:rPr>
  </w:style>
  <w:style w:type="paragraph" w:styleId="1">
    <w:name w:val="Обычный1"/>
    <w:qFormat/>
    <w:pPr>
      <w:widowControl/>
      <w:bidi w:val="0"/>
    </w:pPr>
    <w:rPr>
      <w:rFonts w:ascii="Calibri" w:hAnsi="Calibri" w:eastAsia="Calibri" w:cs="Calibri"/>
      <w:color w:val="auto"/>
      <w:sz w:val="20"/>
      <w:szCs w:val="20"/>
      <w:lang w:val="ru-RU" w:bidi="ar-SA" w:eastAsia="zh-CN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LibreOffice/7.6.2.1$Linux_X86_64 LibreOffice_project/56f7684011345957bbf33a7ee678afaf4d2ba333</Application>
  <AppVersion>15.0000</AppVersion>
  <Pages>2</Pages>
  <Words>886</Words>
  <Characters>6788</Characters>
  <CharactersWithSpaces>7663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2021-11-19T16:36:00Z</dcterms:created>
  <dc:creator>d_opa</dc:creator>
  <dc:description/>
  <cp:keywords/>
  <dc:language>ru-RU</dc:language>
  <cp:lastModifiedBy>fdp1</cp:lastModifiedBy>
  <cp:lastPrinted>2021-03-11T11:51:00Z</cp:lastPrinted>
  <dcterms:modified xsi:type="dcterms:W3CDTF">2023-10-04T13:57:00Z</dcterms:modified>
  <cp:revision>5</cp:revision>
  <dc:subject/>
  <dc:title/>
</cp:coreProperties>
</file>